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bookmarkStart w:colFirst="0" w:colLast="0" w:name="_heading=h.3tbugp1"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9A (Security)</w:t>
      </w:r>
    </w:p>
    <w:bookmarkStart w:colFirst="0" w:colLast="0" w:name="bookmark=id.30j0zll" w:id="1"/>
    <w:bookmarkEnd w:id="1"/>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05">
      <w:pPr>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6">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031.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07">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t>
            </w:r>
            <w:r w:rsidDel="00000000" w:rsidR="00000000" w:rsidRPr="00000000">
              <w:rPr>
                <w:rFonts w:ascii="Arial" w:cs="Arial" w:eastAsia="Arial" w:hAnsi="Arial"/>
                <w:sz w:val="24"/>
                <w:szCs w:val="24"/>
                <w:rtl w:val="0"/>
              </w:rPr>
              <w:t xml:space="preserve">Breach of Security</w:t>
            </w:r>
            <w:r w:rsidDel="00000000" w:rsidR="00000000" w:rsidRPr="00000000">
              <w:rPr>
                <w:rFonts w:ascii="Arial" w:cs="Arial" w:eastAsia="Arial" w:hAnsi="Arial"/>
                <w:b w:val="0"/>
                <w:sz w:val="24"/>
                <w:szCs w:val="24"/>
                <w:rtl w:val="0"/>
              </w:rPr>
              <w:t xml:space="preserve">"</w:t>
            </w:r>
          </w:p>
        </w:tc>
        <w:tc>
          <w:tcPr/>
          <w:p w:rsidR="00000000" w:rsidDel="00000000" w:rsidP="00000000" w:rsidRDefault="00000000" w:rsidRPr="00000000" w14:paraId="00000008">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09">
            <w:pPr>
              <w:pStyle w:val="Heading2"/>
              <w:numPr>
                <w:ilvl w:val="1"/>
                <w:numId w:val="3"/>
              </w:numPr>
              <w:tabs>
                <w:tab w:val="left" w:leader="none" w:pos="144"/>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w:t>
            </w:r>
            <w:r w:rsidDel="00000000" w:rsidR="00000000" w:rsidRPr="00000000">
              <w:rPr>
                <w:rFonts w:ascii="Arial" w:cs="Arial" w:eastAsia="Arial" w:hAnsi="Arial"/>
                <w:b w:val="1"/>
                <w:sz w:val="24"/>
                <w:szCs w:val="24"/>
                <w:rtl w:val="0"/>
              </w:rPr>
              <w:t xml:space="preserve">ICT</w:t>
            </w:r>
            <w:r w:rsidDel="00000000" w:rsidR="00000000" w:rsidRPr="00000000">
              <w:rPr>
                <w:rFonts w:ascii="Arial" w:cs="Arial" w:eastAsia="Arial" w:hAnsi="Arial"/>
                <w:sz w:val="24"/>
                <w:szCs w:val="24"/>
                <w:rtl w:val="0"/>
              </w:rPr>
              <w:t xml:space="preserve">"),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3"/>
              </w:numPr>
              <w:tabs>
                <w:tab w:val="left" w:leader="none"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3.4.3(d);</w:t>
            </w:r>
          </w:p>
        </w:tc>
      </w:tr>
      <w:tr>
        <w:trPr>
          <w:cantSplit w:val="0"/>
          <w:tblHeader w:val="0"/>
        </w:trPr>
        <w:tc>
          <w:tcPr/>
          <w:p w:rsidR="00000000" w:rsidDel="00000000" w:rsidP="00000000" w:rsidRDefault="00000000" w:rsidRPr="00000000" w14:paraId="0000000C">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t>
            </w:r>
            <w:r w:rsidDel="00000000" w:rsidR="00000000" w:rsidRPr="00000000">
              <w:rPr>
                <w:rFonts w:ascii="Arial" w:cs="Arial" w:eastAsia="Arial" w:hAnsi="Arial"/>
                <w:sz w:val="24"/>
                <w:szCs w:val="24"/>
                <w:rtl w:val="0"/>
              </w:rPr>
              <w:t xml:space="preserve">ISMS</w:t>
            </w:r>
            <w:r w:rsidDel="00000000" w:rsidR="00000000" w:rsidRPr="00000000">
              <w:rPr>
                <w:rFonts w:ascii="Arial" w:cs="Arial" w:eastAsia="Arial" w:hAnsi="Arial"/>
                <w:b w:val="0"/>
                <w:sz w:val="24"/>
                <w:szCs w:val="24"/>
                <w:rtl w:val="0"/>
              </w:rPr>
              <w:t xml:space="preserve">"</w:t>
            </w:r>
          </w:p>
        </w:tc>
        <w:tc>
          <w:tcPr/>
          <w:p w:rsidR="00000000" w:rsidDel="00000000" w:rsidP="00000000" w:rsidRDefault="00000000" w:rsidRPr="00000000" w14:paraId="0000000D">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0E">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t>
            </w:r>
            <w:r w:rsidDel="00000000" w:rsidR="00000000" w:rsidRPr="00000000">
              <w:rPr>
                <w:rFonts w:ascii="Arial" w:cs="Arial" w:eastAsia="Arial" w:hAnsi="Arial"/>
                <w:sz w:val="24"/>
                <w:szCs w:val="24"/>
                <w:rtl w:val="0"/>
              </w:rPr>
              <w:t xml:space="preserve">Security Tests</w:t>
            </w:r>
            <w:r w:rsidDel="00000000" w:rsidR="00000000" w:rsidRPr="00000000">
              <w:rPr>
                <w:rFonts w:ascii="Arial" w:cs="Arial" w:eastAsia="Arial" w:hAnsi="Arial"/>
                <w:b w:val="0"/>
                <w:sz w:val="24"/>
                <w:szCs w:val="24"/>
                <w:rtl w:val="0"/>
              </w:rPr>
              <w:t xml:space="preserve">"</w:t>
            </w:r>
          </w:p>
        </w:tc>
        <w:tc>
          <w:tcPr/>
          <w:p w:rsidR="00000000" w:rsidDel="00000000" w:rsidP="00000000" w:rsidRDefault="00000000" w:rsidRPr="00000000" w14:paraId="0000000F">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0">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
      <w:bookmarkEnd w:id="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1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18" w:hanging="709"/>
        <w:rPr>
          <w:color w:val="000000"/>
          <w:sz w:val="24"/>
          <w:szCs w:val="24"/>
        </w:rPr>
      </w:pPr>
      <w:bookmarkStart w:colFirst="0" w:colLast="0" w:name="_heading=h.2xcytpi" w:id="3"/>
      <w:bookmarkEnd w:id="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18" w:hanging="709"/>
        <w:rPr>
          <w:color w:val="000000"/>
          <w:sz w:val="24"/>
          <w:szCs w:val="24"/>
        </w:rPr>
      </w:pPr>
      <w:bookmarkStart w:colFirst="0" w:colLast="0" w:name="_heading=h.1ci93xb" w:id="4"/>
      <w:bookmarkEnd w:id="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1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bookmarkStart w:colFirst="0" w:colLast="0" w:name="_heading=h.3whwml4" w:id="5"/>
      <w:bookmarkEnd w:id="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bn6wsx" w:id="6"/>
      <w:bookmarkEnd w:id="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qsh70q" w:id="7"/>
      <w:bookmarkEnd w:id="7"/>
      <w:r w:rsidDel="00000000" w:rsidR="00000000" w:rsidRPr="00000000">
        <w:rPr>
          <w:color w:val="000000"/>
          <w:sz w:val="24"/>
          <w:szCs w:val="24"/>
          <w:rtl w:val="0"/>
        </w:rPr>
        <w:t xml:space="preserve">The ISMS shall:</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2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2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2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2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bookmarkStart w:colFirst="0" w:colLast="0" w:name="_heading=h.3as4poj" w:id="8"/>
      <w:bookmarkEnd w:id="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1pxezwc" w:id="9"/>
      <w:bookmarkEnd w:id="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49x2ik5" w:id="10"/>
      <w:bookmarkEnd w:id="1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3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p2csry" w:id="11"/>
      <w:bookmarkEnd w:id="1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38">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147n2zr" w:id="12"/>
      <w:bookmarkEnd w:id="1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3.4.3(d), the Security Policy;</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3o7alnk" w:id="13"/>
      <w:bookmarkEnd w:id="1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4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4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3ckvvd" w:id="14"/>
      <w:bookmarkEnd w:id="1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4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required in accordance with Paragraph 3.4.3(d), any changes to the Security Policy;</w:t>
      </w:r>
    </w:p>
    <w:p w:rsidR="00000000" w:rsidDel="00000000" w:rsidP="00000000" w:rsidRDefault="00000000" w:rsidRPr="00000000" w14:paraId="0000004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ihv636"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5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32hioqz" w:id="16"/>
      <w:bookmarkEnd w:id="1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(Baseline Security Requirements) or otherwise) shall be subject to the Variation Procedure and shall not be implemented until Approved in writing by the Buyer.</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1hmsyys" w:id="17"/>
      <w:bookmarkEnd w:id="1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5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41mghml" w:id="18"/>
      <w:bookmarkEnd w:id="1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relevant Service Level Performance Indicators, the Supplier shall be granted relief against any resultant under-performance for the period of the Security Tests.</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grqrue" w:id="19"/>
      <w:bookmarkEnd w:id="1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vx1227" w:id="20"/>
      <w:bookmarkEnd w:id="2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relevant Service Level Performance Indicators, the Supplier shall be granted relief against any resultant under-performance for the period of the Buyer’s test.</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3fwokq0" w:id="21"/>
      <w:bookmarkEnd w:id="2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5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1v1yuxt" w:id="22"/>
      <w:bookmarkEnd w:id="2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5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4f1mdlm" w:id="23"/>
      <w:bookmarkEnd w:id="2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61">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6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6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6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6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6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24"/>
      <w:bookmarkEnd w:id="2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7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76">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8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sz w:val="36"/>
          <w:szCs w:val="36"/>
        </w:rPr>
      </w:pPr>
      <w:bookmarkStart w:colFirst="0" w:colLast="0" w:name="_heading=h.19c6y18" w:id="26"/>
      <w:bookmarkEnd w:id="2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25"/>
      <w:bookmarkEnd w:id="2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w:t>
      </w:r>
      <w:r w:rsidDel="00000000" w:rsidR="00000000" w:rsidRPr="00000000">
        <w:rPr>
          <w:rFonts w:ascii="Arial Bold" w:cs="Arial Bold" w:eastAsia="Arial Bold" w:hAnsi="Arial Bold"/>
          <w:b w:val="1"/>
          <w:color w:val="000000"/>
          <w:sz w:val="36"/>
          <w:szCs w:val="36"/>
          <w:rtl w:val="0"/>
        </w:rPr>
        <w:t xml:space="preserve">requirements</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rtl w:val="0"/>
        </w:rPr>
      </w:r>
    </w:p>
    <w:p w:rsidR="00000000" w:rsidDel="00000000" w:rsidP="00000000" w:rsidRDefault="00000000" w:rsidRPr="00000000" w14:paraId="0000008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8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w:t>
      </w:r>
      <w:r w:rsidDel="00000000" w:rsidR="00000000" w:rsidRPr="00000000">
        <w:rPr>
          <w:color w:val="000000"/>
          <w:sz w:val="24"/>
          <w:szCs w:val="24"/>
          <w:rtl w:val="0"/>
        </w:rPr>
        <w:t xml:space="preserve">Foundation Grade</w:t>
      </w:r>
      <w:r w:rsidDel="00000000" w:rsidR="00000000" w:rsidRPr="00000000">
        <w:rPr>
          <w:color w:val="000000"/>
          <w:sz w:val="24"/>
          <w:szCs w:val="24"/>
          <w:rtl w:val="0"/>
        </w:rPr>
        <w:t xml:space="preserve">, for example, under the NCSC Commercial Product Assurance scheme ("CPA"). </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8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9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w:t>
      </w:r>
      <w:r w:rsidDel="00000000" w:rsidR="00000000" w:rsidRPr="00000000">
        <w:rPr>
          <w:color w:val="000000"/>
          <w:sz w:val="24"/>
          <w:szCs w:val="24"/>
          <w:rtl w:val="0"/>
        </w:rPr>
        <w:t xml:space="preserve">Foundation Grade</w:t>
      </w:r>
      <w:r w:rsidDel="00000000" w:rsidR="00000000" w:rsidRPr="00000000">
        <w:rPr>
          <w:color w:val="000000"/>
          <w:sz w:val="24"/>
          <w:szCs w:val="24"/>
          <w:rtl w:val="0"/>
        </w:rPr>
        <w:t xml:space="preserve">, for example, under CPA.</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9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9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9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color w:val="000000"/>
          <w:sz w:val="24"/>
          <w:szCs w:val="24"/>
        </w:rPr>
      </w:pPr>
      <w:bookmarkStart w:colFirst="0" w:colLast="0" w:name="_heading=h.28h4qwu" w:id="27"/>
      <w:bookmarkEnd w:id="2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A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w:t>
      </w:r>
      <w:r w:rsidDel="00000000" w:rsidR="00000000" w:rsidRPr="00000000">
        <w:rPr>
          <w:color w:val="000000"/>
          <w:sz w:val="24"/>
          <w:szCs w:val="24"/>
          <w:rtl w:val="0"/>
        </w:rPr>
        <w:t xml:space="preserve"> initial Supplier Security Management Plan]</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28"/>
  <w:bookmarkEnd w:id="28"/>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142"/>
      <w:rPr>
        <w:color w:val="000000"/>
        <w:sz w:val="20"/>
        <w:szCs w:val="20"/>
      </w:rPr>
    </w:pPr>
    <w:bookmarkStart w:colFirst="0" w:colLast="0" w:name="_heading=h.30j0zll" w:id="29"/>
    <w:bookmarkEnd w:id="29"/>
    <w:r w:rsidDel="00000000" w:rsidR="00000000" w:rsidRPr="00000000">
      <w:rPr>
        <w:color w:val="000000"/>
        <w:sz w:val="20"/>
        <w:szCs w:val="20"/>
        <w:rtl w:val="0"/>
      </w:rPr>
      <w:t xml:space="preserve">Framework Ref: RM6342</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142"/>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142"/>
      <w:jc w:val="left"/>
      <w:rPr>
        <w:color w:val="a6a6a6"/>
        <w:sz w:val="20"/>
        <w:szCs w:val="20"/>
      </w:rPr>
    </w:pPr>
    <w:bookmarkStart w:colFirst="0" w:colLast="0" w:name="_heading=h.37m2jsg" w:id="30"/>
    <w:bookmarkEnd w:id="30"/>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9A (Security)</w:t>
    </w:r>
  </w:p>
  <w:p w:rsidR="00000000" w:rsidDel="00000000" w:rsidP="00000000" w:rsidRDefault="00000000" w:rsidRPr="00000000" w14:paraId="000000AC">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D">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AE">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7"/>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unhideWhenUsed w:val="1"/>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uiPriority w:val="9"/>
    <w:semiHidden w:val="1"/>
    <w:unhideWhenUsed w:val="1"/>
    <w:qFormat w:val="1"/>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6" w:customStyle="1">
    <w:name w:val="6"/>
    <w:basedOn w:val="TableNormal"/>
    <w:tblPr>
      <w:tblStyleRowBandSize w:val="1"/>
      <w:tblStyleColBandSize w:val="1"/>
      <w:tblCellMar>
        <w:left w:w="115.0" w:type="dxa"/>
        <w:right w:w="115.0" w:type="dxa"/>
      </w:tblCellMar>
    </w:tblPr>
  </w:style>
  <w:style w:type="table" w:styleId="5" w:customStyle="1">
    <w:name w:val="5"/>
    <w:basedOn w:val="TableNormal"/>
    <w:tblPr>
      <w:tblStyleRowBandSize w:val="1"/>
      <w:tblStyleColBandSize w:val="1"/>
      <w:tblCellMar>
        <w:left w:w="115.0" w:type="dxa"/>
        <w:right w:w="115.0" w:type="dxa"/>
      </w:tblCellMar>
    </w:tblPr>
  </w:style>
  <w:style w:type="table" w:styleId="4" w:customStyle="1">
    <w:name w:val="4"/>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3" w:customStyle="1">
    <w:name w:val="3"/>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2" w:customStyle="1">
    <w:name w:val="2"/>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1" w:customStyle="1">
    <w:name w:val="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yI2DpnDvm1q1mQtP/Yn+x9REQ==">CgMxLjAyCWguM3RidWdwMTIKaWQuMzBqMHpsbD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BqMHpsbDIJaC4zN20yanNnOABqIwoUc3VnZ2VzdC52bHFqaDZtZ3R0ejISC1NhbCBUZW1wZXJhaiMKFHN1Z2dlc3QuZThrYTdxeG80dGxnEgtTYWwgVGVtcGVyYWpECjVzdWdnZXN0SWRJbXBvcnQwN2I0YTZlMy1mYjEzLTRhYzItODAyZi0zNmI5MjU5ZjY3NWRfMRILU2FsIFRlbXBlcmFyITE0Z3VBZEJvcWJDc1VHeElGd0t0ZU9CNXM0Z0VPeVlG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2024-02-28T21:07:00Z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